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064"/>
        <w:tblW w:w="0" w:type="auto"/>
        <w:tblLook w:val="04A0" w:firstRow="1" w:lastRow="0" w:firstColumn="1" w:lastColumn="0" w:noHBand="0" w:noVBand="1"/>
      </w:tblPr>
      <w:tblGrid>
        <w:gridCol w:w="9209"/>
        <w:gridCol w:w="2693"/>
        <w:gridCol w:w="2658"/>
      </w:tblGrid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D01BE">
              <w:rPr>
                <w:rFonts w:ascii="Arial" w:hAnsi="Arial" w:cs="Arial"/>
                <w:b/>
                <w:sz w:val="32"/>
                <w:szCs w:val="32"/>
              </w:rPr>
              <w:t xml:space="preserve">Шкала 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D01BE">
              <w:rPr>
                <w:rFonts w:ascii="Arial" w:hAnsi="Arial" w:cs="Arial"/>
                <w:b/>
                <w:sz w:val="32"/>
                <w:szCs w:val="32"/>
              </w:rPr>
              <w:t>Нижняя граница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D01BE">
              <w:rPr>
                <w:rFonts w:ascii="Arial" w:hAnsi="Arial" w:cs="Arial"/>
                <w:b/>
                <w:sz w:val="32"/>
                <w:szCs w:val="32"/>
              </w:rPr>
              <w:t>Верхняя граница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Импульсивность (процент) (И)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0.29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0.46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Методика №1: </w:t>
            </w:r>
            <w:proofErr w:type="spellStart"/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Наркопотребление</w:t>
            </w:r>
            <w:proofErr w:type="spellEnd"/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в социальном окружении (процент) (НСО)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0.12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0.35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Подверженность влиянию группы (процент) (ПВГ)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0.28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0.45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Потребность в одобрении (процент) (По)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0.51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0.67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Принятие асоциальных установок социума (процент) (ПАУ)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0.40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0.59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Принятие одноклассниками (процент) (ПО)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0.58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0.79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Принятие родителями (процент) (ПР)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0.71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0.90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Самоконтроль поведения (процент) (СП)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0.61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0.76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Методика №1: </w:t>
            </w:r>
            <w:proofErr w:type="spellStart"/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Самоэффективность</w:t>
            </w:r>
            <w:proofErr w:type="spellEnd"/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(процент) (С)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0.66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hAnsi="Arial" w:cs="Arial"/>
                <w:sz w:val="32"/>
                <w:szCs w:val="32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0.82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Склонность к риску (процент) (СР)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0.33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0.56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Социальная активность (процент) (СА)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0.64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0.79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Тревожность (процент) (Т)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0.40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0.62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№1: Фрустрация (процент) (Ф)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0.30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0.52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№2: Факторы защиты (проценты) (ФЗ)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0.69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0.83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Методика №2: Факторы риска (проценты) (ФР)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0.38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0.49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РНДО: Минимально возможное время тестирования (МВВТ)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5.15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15.67</w:t>
            </w:r>
          </w:p>
        </w:tc>
      </w:tr>
      <w:tr w:rsidR="001D01BE" w:rsidTr="001D01BE">
        <w:tc>
          <w:tcPr>
            <w:tcW w:w="9209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РНДО: Социальная желательность ответов (СЖО)</w:t>
            </w:r>
          </w:p>
        </w:tc>
        <w:tc>
          <w:tcPr>
            <w:tcW w:w="2693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13.76</w:t>
            </w:r>
          </w:p>
        </w:tc>
        <w:tc>
          <w:tcPr>
            <w:tcW w:w="2658" w:type="dxa"/>
          </w:tcPr>
          <w:p w:rsidR="001D01BE" w:rsidRPr="001D01BE" w:rsidRDefault="001D01BE" w:rsidP="001D01BE">
            <w:pP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1D01BE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20.35</w:t>
            </w:r>
          </w:p>
        </w:tc>
      </w:tr>
    </w:tbl>
    <w:p w:rsidR="002C0C01" w:rsidRDefault="002C0C01"/>
    <w:p w:rsidR="001D01BE" w:rsidRDefault="001D01BE"/>
    <w:p w:rsidR="001D01BE" w:rsidRDefault="001D01BE"/>
    <w:p w:rsidR="001D01BE" w:rsidRDefault="001D01BE"/>
    <w:sectPr w:rsidR="001D01BE" w:rsidSect="00E51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D"/>
    <w:rsid w:val="001D01BE"/>
    <w:rsid w:val="002C0C01"/>
    <w:rsid w:val="004E7E4D"/>
    <w:rsid w:val="006251BA"/>
    <w:rsid w:val="00E51FD3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6BFF"/>
  <w15:chartTrackingRefBased/>
  <w15:docId w15:val="{B7D5CC0C-A9BD-423E-A17C-9F94643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</dc:creator>
  <cp:keywords/>
  <dc:description/>
  <cp:lastModifiedBy>Ладо</cp:lastModifiedBy>
  <cp:revision>5</cp:revision>
  <dcterms:created xsi:type="dcterms:W3CDTF">2020-02-10T06:21:00Z</dcterms:created>
  <dcterms:modified xsi:type="dcterms:W3CDTF">2020-02-10T08:14:00Z</dcterms:modified>
</cp:coreProperties>
</file>